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GOVERNMENTAL POLICIES REGARDING STRATEGIC AND CRITICAL MATERIALS AFFECT THE ACQUISITION OF MAJOR WEAPON SYSTEMS</w:t>
      </w:r>
    </w:p>
    <w:p>
      <w:r>
        <w:rPr>
          <w:rFonts w:ascii="宋体" w:hAnsi="宋体" w:eastAsia="宋体"/>
          <w:sz w:val="24"/>
        </w:rPr>
        <w:t>TERRY L.BCLLMAN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GOVERNMENTAL POLICIES REGARDING STRATEGIC AND CRITICAL MATERIALS AFFECT THE ACQUISITION OF MAJOR WEAPON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L.BCLLMAN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本书出售、求购地址：https://www.jiaokey.com/book/detail/40139586.html</w:t>
      </w:r>
    </w:p>
    <w:p>
      <w:r>
        <w:t>更多相关图书推荐：https://www.jiaokey.com</w:t>
      </w:r>
    </w:p>
    <w:p>
      <w:r>
        <w:t>TERRY L.BCLLMAN 其他作品：https://www.jiaokey.com/tag/TERRY L.BCLLMAN.html</w:t>
      </w:r>
    </w:p>
    <w:p>
      <w:r>
        <w:t>关键词搜索：https://www.jiaokey.com/tag/HOW GOVERNMENTAL POLICIES REGARDING STRATEGIC AND CRITICAL MATERIALS AFFECT THE ACQUISITION OF MAJOR WEAPON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