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AND DEBTOR-CREDITOR LAW:SELECTED STATUTES 1998 EDITION</w:t>
      </w:r>
    </w:p>
    <w:p>
      <w:r>
        <w:rPr>
          <w:rFonts w:ascii="宋体" w:hAnsi="宋体" w:eastAsia="宋体"/>
          <w:sz w:val="24"/>
        </w:rPr>
        <w:t>DOUGLAS G.BAIRD  THEODORE EISENBERG  THOMAS H.JACKSON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AND DEBTOR-CREDITOR LAW:SELECTED STATUTES 1998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G.BAIRD  THEODORE EISENBERG  THOMAS H.JACKSON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本书出售、求购地址：https://www.jiaokey.com/book/detail/40136340.html</w:t>
      </w:r>
    </w:p>
    <w:p>
      <w:r>
        <w:t>更多相关图书推荐：https://www.jiaokey.com</w:t>
      </w:r>
    </w:p>
    <w:p>
      <w:r>
        <w:t>DOUGLAS G.BAIRD  THEODORE EISENBERG  THOMAS H.JACKSON 其他作品：https://www.jiaokey.com/tag/DOUGLAS G.BAIRD  THEODORE EISENBERG  THOMAS H.JACKSON.html</w:t>
      </w:r>
    </w:p>
    <w:p>
      <w:r>
        <w:t>FOUNDATION PRESS 出版图书：https://www.jiaokey.com/tag/FOUNDATION PRESS.html</w:t>
      </w:r>
    </w:p>
    <w:p>
      <w:r>
        <w:t>关键词搜索：https://www.jiaokey.com/tag/COMMERCIAL AND DEBTOR-CREDITOR LAW:SELECTED STATUTES 1998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