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831328 ELECTROHYDRAULIC SYSTEM RESPONSE-NONLINEAR VS LINEAR</w:t>
      </w:r>
    </w:p>
    <w:p>
      <w:r>
        <w:rPr>
          <w:rFonts w:ascii="宋体" w:hAnsi="宋体" w:eastAsia="宋体"/>
          <w:sz w:val="24"/>
        </w:rPr>
        <w:t>G.M.LANCE  A.T.KLEAVELAND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831328 ELECTROHYDRAULIC SYSTEM RESPONSE-NONLINEAR VS LINEAR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G.M.LANCE  A.T.KLEAVELAND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本书出售、求购地址：https://www.jiaokey.com/book/detail/40125671.html</w:t>
      </w:r>
    </w:p>
    <w:p>
      <w:r>
        <w:t>更多相关图书推荐：https://www.jiaokey.com</w:t>
      </w:r>
    </w:p>
    <w:p>
      <w:r>
        <w:t>G.M.LANCE  A.T.KLEAVELAND 其他作品：https://www.jiaokey.com/tag/G.M.LANCE  A.T.KLEAVELAND.html</w:t>
      </w:r>
    </w:p>
    <w:p>
      <w:r>
        <w:t>关键词搜索：https://www.jiaokey.com/tag/SAE TECHNICAL PAPER SERIES 831328 ELECTROHYDRAULIC SYSTEM RESPONSE-NONLINEAR VS LINEAR.html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