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TOUGHNESS IN THE HEATAFFECTED ZONES OF A CARBON MANGANESE STEEL （TO B.S.4360 GRADE 50）AND A LOW ALLOY STEEL</w:t>
      </w:r>
    </w:p>
    <w:p>
      <w:r>
        <w:rPr>
          <w:rFonts w:ascii="宋体" w:hAnsi="宋体" w:eastAsia="宋体"/>
          <w:sz w:val="24"/>
        </w:rPr>
        <w:t>G.L.ARCHER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TOUGHNESS IN THE HEATAFFECTED ZONES OF A CARBON MANGANESE STEEL （TO B.S.4360 GRADE 50）AND A LOW ALLOY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本书出售、求购地址：https://www.jiaokey.com/book/detail/40113827.html</w:t>
      </w:r>
    </w:p>
    <w:p>
      <w:r>
        <w:t>更多相关图书推荐：https://www.jiaokey.com</w:t>
      </w:r>
    </w:p>
    <w:p>
      <w:r>
        <w:t>G.L.ARCHER 其他作品：https://www.jiaokey.com/tag/G.L.ARCHER.html</w:t>
      </w:r>
    </w:p>
    <w:p>
      <w:r>
        <w:t>关键词搜索：https://www.jiaokey.com/tag/FRACTURE TOUGHNESS IN THE HEATAFFECTED ZONES OF A CARBON MANGANESE STEEL （TO B.S.4360 GRADE 50）AND A LOW ALLOY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