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TECHNOLOGY AND APPLICATIONS XXVIII VOLUME 4820 PART TWO OF TWO PARTS</w:t>
      </w:r>
    </w:p>
    <w:p>
      <w:r>
        <w:rPr>
          <w:rFonts w:ascii="宋体" w:hAnsi="宋体" w:eastAsia="宋体"/>
          <w:sz w:val="24"/>
        </w:rPr>
        <w:t>BJORN F.ANDRESEN  GABOR F.FULOP  MARIJA STROJNIK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TECHNOLOGY AND APPLICATIONS XXVIII VOLUME 4820 PART TWO OF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F.ANDRESEN  GABOR F.FULOP  MARIJA STROJNIK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本书出售、求购地址：https://www.jiaokey.com/book/detail/40108028.html</w:t>
      </w:r>
    </w:p>
    <w:p>
      <w:r>
        <w:t>更多相关图书推荐：https://www.jiaokey.com</w:t>
      </w:r>
    </w:p>
    <w:p>
      <w:r>
        <w:t>BJORN F.ANDRESEN  GABOR F.FULOP  MARIJA STROJNIK 其他作品：https://www.jiaokey.com/tag/BJORN F.ANDRESEN  GABOR F.FULOP  MARIJA STROJNIK.html</w:t>
      </w:r>
    </w:p>
    <w:p>
      <w:r>
        <w:t>关键词搜索：https://www.jiaokey.com/tag/INFRARED TECHNOLOGY AND APPLICATIONS XXVIII VOLUME 4820 PART TWO OF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