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TEERFARBENFABRIKATION UND VERWANDTER INDUSTRIEZWELIGE  ⅩⅩⅠ-2</w:t>
      </w:r>
    </w:p>
    <w:p>
      <w:r>
        <w:rPr>
          <w:rFonts w:ascii="宋体" w:hAnsi="宋体" w:eastAsia="宋体"/>
          <w:sz w:val="24"/>
        </w:rPr>
        <w:t>P.FRIEDLAENDER DR.HANS ED.FIERZ-DAVID DR.MAX DOHRN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TEERFARBENFABRIKATION UND VERWANDTER INDUSTRIEZWELIGE  ⅩⅩⅠ-2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P.FRIEDLAENDER DR.HANS ED.FIERZ-DAVID DR.MAX DOHRN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本书出售、求购地址：https://www.jiaokey.com/book/detail/40090163.html</w:t>
      </w:r>
    </w:p>
    <w:p>
      <w:r>
        <w:t>更多相关图书推荐：https://www.jiaokey.com</w:t>
      </w:r>
    </w:p>
    <w:p>
      <w:r>
        <w:t>P.FRIEDLAENDER DR.HANS ED.FIERZ-DAVID DR.MAX DOHRN 其他作品：https://www.jiaokey.com/tag/P.FRIEDLAENDER DR.HANS ED.FIERZ-DAVID DR.MAX DOHRN.html</w:t>
      </w:r>
    </w:p>
    <w:p>
      <w:r>
        <w:t>关键词搜索：https://www.jiaokey.com/tag/FORTSCHRITTE DER TEERFARBENFABRIKATION UND VERWANDTER INDUSTRIEZWELIGE  ⅩⅩⅠ-2.html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