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RECEIVER DESIGN PART Ⅱ AUDIO FREQUENCY AMPLIFIERS TELEVISION AND FREQUENCY MODULATED RECEIVER DESIGN</w:t>
      </w:r>
    </w:p>
    <w:p>
      <w:r>
        <w:rPr>
          <w:rFonts w:ascii="宋体" w:hAnsi="宋体" w:eastAsia="宋体"/>
          <w:sz w:val="24"/>
        </w:rPr>
        <w:t>K.R.STURLEY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RECEIVER DESIGN PART Ⅱ AUDIO FREQUENCY AMPLIFIERS TELEVISION AND FREQUENCY MODULATED RECEIVER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K.R.STURLEY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本书出售、求购地址：https://www.jiaokey.com/book/detail/40089657.html</w:t>
      </w:r>
    </w:p>
    <w:p>
      <w:r>
        <w:t>更多相关图书推荐：https://www.jiaokey.com</w:t>
      </w:r>
    </w:p>
    <w:p>
      <w:r>
        <w:t>K.R.STURLEY 其他作品：https://www.jiaokey.com/tag/K.R.STURLEY.html</w:t>
      </w:r>
    </w:p>
    <w:p>
      <w:r>
        <w:t>CHAPMAN &amp; HALL LTD 出版图书：https://www.jiaokey.com/tag/CHAPMAN &amp; HALL LTD.html</w:t>
      </w:r>
    </w:p>
    <w:p>
      <w:r>
        <w:t>关键词搜索：https://www.jiaokey.com/tag/RADIO RECEIVER DESIGN PART Ⅱ AUDIO FREQUENCY AMPLIFIERS TELEVISION AND FREQUENCY MODULATED RECEIVER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