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エネル一リスク时代の中国：海と陆のエネルギ一ロ一ド</w:t>
      </w:r>
    </w:p>
    <w:p>
      <w:r>
        <w:rPr>
          <w:rFonts w:ascii="宋体" w:hAnsi="宋体" w:eastAsia="宋体"/>
          <w:sz w:val="24"/>
        </w:rPr>
        <w:t>中井毅著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エネル一リスク时代の中国：海と陆のエネルギ一ロ一ド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中井毅著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日本贸易振兴会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本书出售、求购地址：https://www.jiaokey.com/book/detail/40085552.html</w:t>
      </w:r>
    </w:p>
    <w:p>
      <w:r>
        <w:t>更多相关图书推荐：https://www.jiaokey.com</w:t>
      </w:r>
    </w:p>
    <w:p>
      <w:r>
        <w:t>中井毅著 其他作品：https://www.jiaokey.com/tag/中井毅著.html</w:t>
      </w:r>
    </w:p>
    <w:p>
      <w:r>
        <w:t>日本贸易振兴会 出版图书：https://www.jiaokey.com/tag/日本贸易振兴会.html</w:t>
      </w:r>
    </w:p>
    <w:p>
      <w:r>
        <w:t>关键词搜索：https://www.jiaokey.com/tag/エネル一リスク时代の中国：海と陆のエネルギ一ロ一ド.html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