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なぜ日立と松下が  21世纪のトツプ 1 なのか</w:t>
      </w:r>
    </w:p>
    <w:p>
      <w:r>
        <w:rPr>
          <w:rFonts w:ascii="宋体" w:hAnsi="宋体" w:eastAsia="宋体"/>
          <w:sz w:val="24"/>
        </w:rPr>
        <w:t>佐藤公久著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なぜ日立と松下が  21世纪のトツプ 1 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佐藤公久著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本书出售、求购地址：https://www.jiaokey.com/book/detail/40084424.html</w:t>
      </w:r>
    </w:p>
    <w:p>
      <w:r>
        <w:t>更多相关图书推荐：https://www.jiaokey.com</w:t>
      </w:r>
    </w:p>
    <w:p>
      <w:r>
        <w:t>佐藤公久著 其他作品：https://www.jiaokey.com/tag/佐藤公久著.html</w:t>
      </w:r>
    </w:p>
    <w:p>
      <w:r>
        <w:t>株式会社日本実业出版社 出版图书：https://www.jiaokey.com/tag/株式会社日本実业出版社.html</w:t>
      </w:r>
    </w:p>
    <w:p>
      <w:r>
        <w:t>关键词搜索：https://www.jiaokey.com/tag/なぜ日立と松下が  21世纪のトツプ 1 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