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AIRCRAFT LOADING/STRUCTCPE RESPONSE STATISTICS OF TIME TO SERVICE CRACK INITATION</w:t>
      </w:r>
    </w:p>
    <w:p>
      <w:r>
        <w:rPr>
          <w:rFonts w:ascii="宋体" w:hAnsi="宋体" w:eastAsia="宋体"/>
          <w:sz w:val="24"/>
        </w:rPr>
        <w:t>J.N.YANG  W.J.TRAPP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AIRCRAFT LOADING/STRUCTCPE RESPONSE STATISTICS OF TIME TO SERVICE CRACK INITATION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J.N.YANG  W.J.TRAPP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本书出售、求购地址：https://www.jiaokey.com/book/detail/40079150.html</w:t>
      </w:r>
    </w:p>
    <w:p>
      <w:r>
        <w:t>更多相关图书推荐：https://www.jiaokey.com</w:t>
      </w:r>
    </w:p>
    <w:p>
      <w:r>
        <w:t>J.N.YANG  W.J.TRAPP 其他作品：https://www.jiaokey.com/tag/J.N.YANG  W.J.TRAPP.html</w:t>
      </w:r>
    </w:p>
    <w:p>
      <w:r>
        <w:t>关键词搜索：https://www.jiaokey.com/tag/JOINT AIRCRAFT LOADING/STRUCTCPE RESPONSE STATISTICS OF TIME TO SERVICE CRACK INITATION.html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