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DEFINITION AND MODELING OF CRITICAL FLAWS IN GRAPHITE FIBER REINFORCBD RESIN MATRIX COMPOSITE MATERIALS</w:t>
      </w:r>
    </w:p>
    <w:p>
      <w:r>
        <w:rPr>
          <w:rFonts w:ascii="宋体" w:hAnsi="宋体" w:eastAsia="宋体"/>
          <w:sz w:val="24"/>
        </w:rPr>
        <w:t>S.N.CHATTERJEE  Z.HASHIN  R.B.PIPES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DEFINITION AND MODELING OF CRITICAL FLAWS IN GRAPHITE FIBER REINFORCBD RESIN MATRIX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S.N.CHATTERJEE  Z.HASHIN  R.B.PIPES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本书出售、求购地址：https://www.jiaokey.com/book/detail/40078808.html</w:t>
      </w:r>
    </w:p>
    <w:p>
      <w:r>
        <w:t>更多相关图书推荐：https://www.jiaokey.com</w:t>
      </w:r>
    </w:p>
    <w:p>
      <w:r>
        <w:t>S.N.CHATTERJEE  Z.HASHIN  R.B.PIPES 其他作品：https://www.jiaokey.com/tag/S.N.CHATTERJEE  Z.HASHIN  R.B.PIPES.html</w:t>
      </w:r>
    </w:p>
    <w:p>
      <w:r>
        <w:t>关键词搜索：https://www.jiaokey.com/tag/DEFINITION AND MODELING OF CRITICAL FLAWS IN GRAPHITE FIBER REINFORCBD RESIN MATRIX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