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日本溃滅  第二の占领政策だったビツグバンの正体は</w:t>
      </w:r>
    </w:p>
    <w:p>
      <w:r>
        <w:rPr>
          <w:rFonts w:ascii="宋体" w:hAnsi="宋体" w:eastAsia="宋体"/>
          <w:sz w:val="24"/>
        </w:rPr>
        <w:t>水野隆德著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日本溃滅  第二の占领政策だったビツグバンの正体は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本书出售、求购地址：https://www.jiaokey.com/book/detail/40074853.html</w:t>
      </w:r>
    </w:p>
    <w:p>
      <w:r>
        <w:t>更多相关图书推荐：https://www.jiaokey.com</w:t>
      </w:r>
    </w:p>
    <w:p>
      <w:r>
        <w:t>水野隆德著 其他作品：https://www.jiaokey.com/tag/水野隆德著.html</w:t>
      </w:r>
    </w:p>
    <w:p>
      <w:r>
        <w:t>株式会社  德间书店 出版图书：https://www.jiaokey.com/tag/株式会社  德间书店.html</w:t>
      </w:r>
    </w:p>
    <w:p>
      <w:r>
        <w:t>关键词搜索：https://www.jiaokey.com/tag/日本溃滅  第二の占领政策だったビツグバンの正体は.html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