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日本经济の大转换が始まつた  1990年代を生きる企业の条件</w:t>
      </w:r>
    </w:p>
    <w:p>
      <w:r>
        <w:rPr>
          <w:rFonts w:ascii="宋体" w:hAnsi="宋体" w:eastAsia="宋体"/>
          <w:sz w:val="24"/>
        </w:rPr>
        <w:t>生方幸夫著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日本经济の大转换が始まつた  1990年代を生きる企业の条件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生方幸夫著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本书出售、求购地址：https://www.jiaokey.com/book/detail/40074852.html</w:t>
      </w:r>
    </w:p>
    <w:p>
      <w:r>
        <w:t>更多相关图书推荐：https://www.jiaokey.com</w:t>
      </w:r>
    </w:p>
    <w:p>
      <w:r>
        <w:t>生方幸夫著 其他作品：https://www.jiaokey.com/tag/生方幸夫著.html</w:t>
      </w:r>
    </w:p>
    <w:p>
      <w:r>
        <w:t>现代书林 出版图书：https://www.jiaokey.com/tag/现代书林.html</w:t>
      </w:r>
    </w:p>
    <w:p>
      <w:r>
        <w:t>关键词搜索：https://www.jiaokey.com/tag/日本经济の大转换が始まつた  1990年代を生きる企业の条件.html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