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日本经济·长期好况の到来：规则缓和が高める成长力</w:t>
      </w:r>
    </w:p>
    <w:p>
      <w:r>
        <w:rPr>
          <w:rFonts w:ascii="宋体" w:hAnsi="宋体" w:eastAsia="宋体"/>
          <w:sz w:val="24"/>
        </w:rPr>
        <w:t>谷内满  日本经济研究センタ一编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日本经济·长期好况の到来：规则缓和が高める成长力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谷内满  日本经济研究センタ一编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本书出售、求购地址：https://www.jiaokey.com/book/detail/40074691.html</w:t>
      </w:r>
    </w:p>
    <w:p>
      <w:r>
        <w:t>更多相关图书推荐：https://www.jiaokey.com</w:t>
      </w:r>
    </w:p>
    <w:p>
      <w:r>
        <w:t>谷内满  日本经济研究センタ一编 其他作品：https://www.jiaokey.com/tag/谷内满  日本经济研究センタ一编.html</w:t>
      </w:r>
    </w:p>
    <w:p>
      <w:r>
        <w:t>日本经济新闻社 出版图书：https://www.jiaokey.com/tag/日本经济新闻社.html</w:t>
      </w:r>
    </w:p>
    <w:p>
      <w:r>
        <w:t>关键词搜索：https://www.jiaokey.com/tag/日本经济·长期好况の到来：规则缓和が高める成长力.html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