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债务人与债权人法：案例与难点</w:t>
      </w:r>
    </w:p>
    <w:p>
      <w:r>
        <w:rPr>
          <w:rFonts w:ascii="宋体" w:hAnsi="宋体" w:eastAsia="宋体"/>
          <w:sz w:val="24"/>
        </w:rPr>
        <w:t>（美）沃伦等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债务人与债权人法：案例与难点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本书出售、求购地址：https://www.jiaokey.com/book/detail/40072427.html</w:t>
      </w:r>
    </w:p>
    <w:p>
      <w:r>
        <w:t>更多相关图书推荐：https://www.jiaokey.com</w:t>
      </w:r>
    </w:p>
    <w:p>
      <w:r>
        <w:t>（美）沃伦等 其他作品：https://www.jiaokey.com/tag/（美）沃伦等.html</w:t>
      </w:r>
    </w:p>
    <w:p>
      <w:r>
        <w:t>中信出版社 出版图书：https://www.jiaokey.com/tag/中信出版社.html</w:t>
      </w:r>
    </w:p>
    <w:p>
      <w:r>
        <w:t>关键词搜索：https://www.jiaokey.com/tag/债务人与债权人法：案例与难点.html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