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</w:t>
      </w:r>
    </w:p>
    <w:p>
      <w:r>
        <w:rPr>
          <w:rFonts w:ascii="宋体" w:hAnsi="宋体" w:eastAsia="宋体"/>
          <w:sz w:val="24"/>
        </w:rPr>
        <w:t>（法）E.左拉原著；（苏）列夫阔维契，Е.Л.改写 林勤明注释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（法）E.左拉原著；（苏）列夫阔维契，Е.Л.改写 林勤明注释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本书出售、求购地址：https://www.jiaokey.com/book/detail/40062232.html</w:t>
      </w:r>
    </w:p>
    <w:p>
      <w:r>
        <w:t>更多相关图书推荐：https://www.jiaokey.com</w:t>
      </w:r>
    </w:p>
    <w:p>
      <w:r>
        <w:t>（法）E.左拉原著；（苏）列夫阔维契，Е.Л.改写 林勤明注释 其他作品：https://www.jiaokey.com/tag/（法）E.左拉原著；（苏）列夫阔维契，Е.Л.改写 林勤明注释.html</w:t>
      </w:r>
    </w:p>
    <w:p>
      <w:r>
        <w:t>商务印书馆 出版图书：https://www.jiaokey.com/tag/商务印书馆.html</w:t>
      </w:r>
    </w:p>
    <w:p>
      <w:r>
        <w:t>关键词搜索：https://www.jiaokey.com/tag/萌芽.html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