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Э?ЕМЕНТЫu3000Иu3000СИСТЕМЫu3000АВТОМАТИКИ</w:t>
      </w:r>
    </w:p>
    <w:p>
      <w:r>
        <w:rPr>
          <w:rFonts w:ascii="宋体" w:hAnsi="宋体" w:eastAsia="宋体"/>
          <w:sz w:val="24"/>
        </w:rPr>
        <w:t>А.И.КОНОВААОВu3000u3000Д.П.ПЕТЕАИН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Э?ЕМЕНТЫu3000Иu3000СИСТЕМЫu3000АВТОМАТИКИ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А.И.КОНОВААОВu3000u3000Д.П.ПЕТЕАИН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本书出售、求购地址：https://www.jiaokey.com/book/detail/40061685.html</w:t>
      </w:r>
    </w:p>
    <w:p>
      <w:r>
        <w:t>更多相关图书推荐：https://www.jiaokey.com</w:t>
      </w:r>
    </w:p>
    <w:p>
      <w:r>
        <w:t>А.И.КОНОВААОВu3000u3000Д.П.ПЕТЕАИН 其他作品：https://www.jiaokey.com/tag/А.И.КОНОВААОВu3000u3000Д.П.ПЕТЕАИН.html</w:t>
      </w:r>
    </w:p>
    <w:p>
      <w:r>
        <w:t>关键词搜索：https://www.jiaokey.com/tag/Э?ЕМЕНТЫu3000Иu3000СИСТЕМЫu3000АВТОМАТИКИ.html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