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ХИМИЯu3000иu3000Технологияu3000нефти и г аза</w:t>
      </w:r>
    </w:p>
    <w:p>
      <w:r>
        <w:rPr>
          <w:rFonts w:ascii="宋体" w:hAnsi="宋体" w:eastAsia="宋体"/>
          <w:sz w:val="24"/>
        </w:rPr>
        <w:t>В.Н.ЭРИХ М.Г.РАСИНА М.Г.РУДИН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ХИМИЯu3000иu3000Технологияu3000нефти и г аза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В.Н.ЭРИХ М.Г.РАСИНА М.Г.РУДИН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本书出售、求购地址：https://www.jiaokey.com/book/detail/40060342.html</w:t>
      </w:r>
    </w:p>
    <w:p>
      <w:r>
        <w:t>更多相关图书推荐：https://www.jiaokey.com</w:t>
      </w:r>
    </w:p>
    <w:p>
      <w:r>
        <w:t>В.Н.ЭРИХ М.Г.РАСИНА М.Г.РУДИН 其他作品：https://www.jiaokey.com/tag/В.Н.ЭРИХ М.Г.РАСИНА М.Г.РУДИН.html</w:t>
      </w:r>
    </w:p>
    <w:p>
      <w:r>
        <w:t>关键词搜索：https://www.jiaokey.com/tag/ХИМИЯu3000иu3000Технологияu3000нефти и г аза.html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