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国际比较べイオテクノロジ一の开发战略  二  政策分析编</w:t>
      </w:r>
    </w:p>
    <w:p>
      <w:r>
        <w:rPr>
          <w:rFonts w:ascii="宋体" w:hAnsi="宋体" w:eastAsia="宋体"/>
          <w:sz w:val="24"/>
        </w:rPr>
        <w:t>池田庸之助  龟若诚  都留信也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国际比较べイオテクノロジ一の开发战略  二  政策分析编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池田庸之助  龟若诚  都留信也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本书出售、求购地址：https://www.jiaokey.com/book/detail/40057158.html</w:t>
      </w:r>
    </w:p>
    <w:p>
      <w:r>
        <w:t>更多相关图书推荐：https://www.jiaokey.com</w:t>
      </w:r>
    </w:p>
    <w:p>
      <w:r>
        <w:t>池田庸之助  龟若诚  都留信也 其他作品：https://www.jiaokey.com/tag/池田庸之助  龟若诚  都留信也.html</w:t>
      </w:r>
    </w:p>
    <w:p>
      <w:r>
        <w:t>家の光协会 出版图书：https://www.jiaokey.com/tag/家の光协会.html</w:t>
      </w:r>
    </w:p>
    <w:p>
      <w:r>
        <w:t>关键词搜索：https://www.jiaokey.com/tag/国际比较べイオテクノロジ一の开发战略  二  政策分析编.html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