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生命现象の化学</w:t>
      </w:r>
    </w:p>
    <w:p>
      <w:r>
        <w:rPr>
          <w:rFonts w:ascii="宋体" w:hAnsi="宋体" w:eastAsia="宋体"/>
          <w:sz w:val="24"/>
        </w:rPr>
        <w:t>芦田让治  江上不二夫  吉川秀男编集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生命现象の化学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芦田让治  江上不二夫  吉川秀男编集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  朝仓书店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本书出售、求购地址：https://www.jiaokey.com/book/detail/40056301.html</w:t>
      </w:r>
    </w:p>
    <w:p>
      <w:r>
        <w:t>更多相关图书推荐：https://www.jiaokey.com</w:t>
      </w:r>
    </w:p>
    <w:p>
      <w:r>
        <w:t>芦田让治  江上不二夫  吉川秀男编集 其他作品：https://www.jiaokey.com/tag/芦田让治  江上不二夫  吉川秀男编集.html</w:t>
      </w:r>
    </w:p>
    <w:p>
      <w:r>
        <w:t>株式会社  朝仓书店 出版图书：https://www.jiaokey.com/tag/株式会社  朝仓书店.html</w:t>
      </w:r>
    </w:p>
    <w:p>
      <w:r>
        <w:t>关键词搜索：https://www.jiaokey.com/tag/生命现象の化学.html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