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  （上卷·原理篇）  （第二十一版）</w:t>
      </w:r>
    </w:p>
    <w:p>
      <w:r>
        <w:rPr>
          <w:rFonts w:ascii="宋体" w:hAnsi="宋体" w:eastAsia="宋体"/>
          <w:sz w:val="24"/>
        </w:rPr>
        <w:t>高木诚司著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  （上卷·原理篇）  （第二十一版）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高木诚司著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本书出售、求购地址：https://www.jiaokey.com/book/detail/40055438.html</w:t>
      </w:r>
    </w:p>
    <w:p>
      <w:r>
        <w:t>更多相关图书推荐：https://www.jiaokey.com</w:t>
      </w:r>
    </w:p>
    <w:p>
      <w:r>
        <w:t>高木诚司著 其他作品：https://www.jiaokey.com/tag/高木诚司著.html</w:t>
      </w:r>
    </w:p>
    <w:p>
      <w:r>
        <w:t>南江堂 出版图书：https://www.jiaokey.com/tag/南江堂.html</w:t>
      </w:r>
    </w:p>
    <w:p>
      <w:r>
        <w:t>关键词搜索：https://www.jiaokey.com/tag/定性分析化学  （上卷·原理篇）  （第二十一版）.html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