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地域国家论  新しい繁荣を求あて</w:t>
      </w:r>
    </w:p>
    <w:p>
      <w:r>
        <w:rPr>
          <w:rFonts w:ascii="宋体" w:hAnsi="宋体" w:eastAsia="宋体"/>
          <w:sz w:val="24"/>
        </w:rPr>
        <w:t>大前研一著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地域国家论  新しい繁荣を求あて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本书出售、求购地址：https://www.jiaokey.com/book/detail/40052129.html</w:t>
      </w:r>
    </w:p>
    <w:p>
      <w:r>
        <w:t>更多相关图书推荐：https://www.jiaokey.com</w:t>
      </w:r>
    </w:p>
    <w:p>
      <w:r>
        <w:t>大前研一著 其他作品：https://www.jiaokey.com/tag/大前研一著.html</w:t>
      </w:r>
    </w:p>
    <w:p>
      <w:r>
        <w:t>株式会社  讲谈社 出版图书：https://www.jiaokey.com/tag/株式会社  讲谈社.html</w:t>
      </w:r>
    </w:p>
    <w:p>
      <w:r>
        <w:t>关键词搜索：https://www.jiaokey.com/tag/地域国家论  新しい繁荣を求あて.html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