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  开发金融と环境·人权问题</w:t>
      </w:r>
    </w:p>
    <w:p>
      <w:r>
        <w:rPr>
          <w:rFonts w:ascii="宋体" w:hAnsi="宋体" w:eastAsia="宋体"/>
          <w:sz w:val="24"/>
        </w:rPr>
        <w:t>鹫见一夫著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  开发金融と环境·人权问题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鹫见一夫著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有斐阁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本书出售、求购地址：https://www.jiaokey.com/book/detail/40052024.html</w:t>
      </w:r>
    </w:p>
    <w:p>
      <w:r>
        <w:t>更多相关图书推荐：https://www.jiaokey.com</w:t>
      </w:r>
    </w:p>
    <w:p>
      <w:r>
        <w:t>鹫见一夫著 其他作品：https://www.jiaokey.com/tag/鹫见一夫著.html</w:t>
      </w:r>
    </w:p>
    <w:p>
      <w:r>
        <w:t>株式会社  有斐阁 出版图书：https://www.jiaokey.com/tag/株式会社  有斐阁.html</w:t>
      </w:r>
    </w:p>
    <w:p>
      <w:r>
        <w:t>关键词搜索：https://www.jiaokey.com/tag/世界银行  开发金融と环境·人权问题.html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