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 INTO THE TWENTY-FIRST CENTURY  Unique Contexts</w:t>
      </w:r>
    </w:p>
    <w:p>
      <w:r>
        <w:rPr>
          <w:rFonts w:ascii="宋体" w:hAnsi="宋体" w:eastAsia="宋体"/>
          <w:sz w:val="24"/>
        </w:rPr>
        <w:t>ALAN C.LAMBORN(Colorado State University)  JOSEPH LEPGOLD(Late of Georgetown University)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 INTO THE TWENTY-FIRST CENTURY  Unique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C.LAMBORN(Colorado State University)  JOSEPH LEPGOLD(Late of Georgetown University)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本书出售、求购地址：https://www.jiaokey.com/book/detail/40051479.html</w:t>
      </w:r>
    </w:p>
    <w:p>
      <w:r>
        <w:t>更多相关图书推荐：https://www.jiaokey.com</w:t>
      </w:r>
    </w:p>
    <w:p>
      <w:r>
        <w:t>ALAN C.LAMBORN(Colorado State University)  JOSEPH LEPGOLD(Late of Georgetown University) 其他作品：https://www.jiaokey.com/tag/ALAN C.LAMBORN(Colorado State University)  JOSEPH LEPGOLD(Late of Georgetown University).html</w:t>
      </w:r>
    </w:p>
    <w:p>
      <w:r>
        <w:t>PRENTICE HALL 出版图书：https://www.jiaokey.com/tag/PRENTICE HALL.html</w:t>
      </w:r>
    </w:p>
    <w:p>
      <w:r>
        <w:t>关键词搜索：https://www.jiaokey.com/tag/WORLD POLITICS  INTO THE TWENTY-FIRST CENTURY  Unique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