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for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本书出售、求购地址：https://www.jiaokey.com/book/detail/40051421.html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关键词搜索：https://www.jiaokey.com/tag/Macroeconomics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