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ドル体制と国际通货  ドルの后退とマルク</w:t>
      </w:r>
    </w:p>
    <w:p>
      <w:r>
        <w:rPr>
          <w:rFonts w:ascii="宋体" w:hAnsi="宋体" w:eastAsia="宋体"/>
          <w:sz w:val="24"/>
        </w:rPr>
        <w:t>奥田宏司著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ドル体制と国际通货  ドルの后退とマルク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奥田宏司著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ミネルヴア书房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本书出售、求购地址：https://www.jiaokey.com/book/detail/40051224.html</w:t>
      </w:r>
    </w:p>
    <w:p>
      <w:r>
        <w:t>更多相关图书推荐：https://www.jiaokey.com</w:t>
      </w:r>
    </w:p>
    <w:p>
      <w:r>
        <w:t>奥田宏司著 其他作品：https://www.jiaokey.com/tag/奥田宏司著.html</w:t>
      </w:r>
    </w:p>
    <w:p>
      <w:r>
        <w:t>ミネルヴア书房 出版图书：https://www.jiaokey.com/tag/ミネルヴア书房.html</w:t>
      </w:r>
    </w:p>
    <w:p>
      <w:r>
        <w:t>关键词搜索：https://www.jiaokey.com/tag/ドル体制と国际通货  ドルの后退とマルク.html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