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现代世界经济システム  变容と转换</w:t>
      </w:r>
    </w:p>
    <w:p>
      <w:r>
        <w:rPr>
          <w:rFonts w:ascii="宋体" w:hAnsi="宋体" w:eastAsia="宋体"/>
          <w:sz w:val="24"/>
        </w:rPr>
        <w:t>河村哲二  柴田德太郎编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现代世界经济システム  变容と转换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河村哲二  柴田德太郎编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本书出售、求购地址：https://www.jiaokey.com/book/detail/40050390.html</w:t>
      </w:r>
    </w:p>
    <w:p>
      <w:r>
        <w:t>更多相关图书推荐：https://www.jiaokey.com</w:t>
      </w:r>
    </w:p>
    <w:p>
      <w:r>
        <w:t>河村哲二  柴田德太郎编 其他作品：https://www.jiaokey.com/tag/河村哲二  柴田德太郎编.html</w:t>
      </w:r>
    </w:p>
    <w:p>
      <w:r>
        <w:t>东洋经济新报社 出版图书：https://www.jiaokey.com/tag/东洋经济新报社.html</w:t>
      </w:r>
    </w:p>
    <w:p>
      <w:r>
        <w:t>关键词搜索：https://www.jiaokey.com/tag/现代世界经济システム  变容と转换.html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