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日本经济の构造改革——実现する21世纪ボランタリ一社会</w:t>
      </w:r>
    </w:p>
    <w:p>
      <w:r>
        <w:rPr>
          <w:rFonts w:ascii="宋体" w:hAnsi="宋体" w:eastAsia="宋体"/>
          <w:sz w:val="24"/>
        </w:rPr>
        <w:t>三田议之著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日本经济の构造改革——実现する21世纪ボランタリ一社会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三田议之著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（株）中央经济社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本书出售、求购地址：https://www.jiaokey.com/book/detail/40039789.html</w:t>
      </w:r>
    </w:p>
    <w:p>
      <w:r>
        <w:t>更多相关图书推荐：https://www.jiaokey.com</w:t>
      </w:r>
    </w:p>
    <w:p>
      <w:r>
        <w:t>三田议之著 其他作品：https://www.jiaokey.com/tag/三田议之著.html</w:t>
      </w:r>
    </w:p>
    <w:p>
      <w:r>
        <w:t>（株）中央经济社 出版图书：https://www.jiaokey.com/tag/（株）中央经济社.html</w:t>
      </w:r>
    </w:p>
    <w:p>
      <w:r>
        <w:t>关键词搜索：https://www.jiaokey.com/tag/日本经济の构造改革——実现する21世纪ボランタリ一社会.html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