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鱼——その资源·利用·经济</w:t>
      </w:r>
    </w:p>
    <w:p>
      <w:r>
        <w:rPr>
          <w:rFonts w:ascii="宋体" w:hAnsi="宋体" w:eastAsia="宋体"/>
          <w:sz w:val="24"/>
        </w:rPr>
        <w:t>川崎健  河端俊治  长谷川彰编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鱼——その资源·利用·经济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川崎健  河端俊治  长谷川彰编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本书出售、求购地址：https://www.jiaokey.com/book/detail/40032427.html</w:t>
      </w:r>
    </w:p>
    <w:p>
      <w:r>
        <w:t>更多相关图书推荐：https://www.jiaokey.com</w:t>
      </w:r>
    </w:p>
    <w:p>
      <w:r>
        <w:t>川崎健  河端俊治  长谷川彰编 其他作品：https://www.jiaokey.com/tag/川崎健  河端俊治  长谷川彰编.html</w:t>
      </w:r>
    </w:p>
    <w:p>
      <w:r>
        <w:t>关键词搜索：https://www.jiaokey.com/tag/鱼——その资源·利用·经济.html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