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程序前处理在复杂结构有限元计算中的应用</w:t>
      </w:r>
    </w:p>
    <w:p>
      <w:r>
        <w:rPr>
          <w:rFonts w:ascii="宋体" w:hAnsi="宋体" w:eastAsia="宋体"/>
          <w:sz w:val="24"/>
        </w:rPr>
        <w:t>陈振雷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程序前处理在复杂结构有限元计算中的应用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河海大学工程力学系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本书出售、求购地址：https://www.jiaokey.com/book/detail/30005475.html</w:t>
      </w:r>
    </w:p>
    <w:p>
      <w:r>
        <w:t>更多相关图书推荐：https://www.jiaokey.com</w:t>
      </w:r>
    </w:p>
    <w:p>
      <w:r>
        <w:t>陈振雷 其他作品：https://www.jiaokey.com/tag/陈振雷.html</w:t>
      </w:r>
    </w:p>
    <w:p>
      <w:r>
        <w:t>河海大学工程力学系 出版图书：https://www.jiaokey.com/tag/河海大学工程力学系.html</w:t>
      </w:r>
    </w:p>
    <w:p>
      <w:r>
        <w:t>关键词搜索：https://www.jiaokey.com/tag/青年力学协会第二届年会论文集  第三集  程序前处理在复杂结构有限元计算中的应用.html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