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主动振动控制</w:t>
      </w:r>
    </w:p>
    <w:p>
      <w:r>
        <w:rPr>
          <w:rFonts w:ascii="宋体" w:hAnsi="宋体" w:eastAsia="宋体"/>
          <w:sz w:val="24"/>
        </w:rPr>
        <w:t>王宪军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主动振动控制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北京理工大学应用力学系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本书出售、求购地址：https://www.jiaokey.com/book/detail/30005429.html</w:t>
      </w:r>
    </w:p>
    <w:p>
      <w:r>
        <w:t>更多相关图书推荐：https://www.jiaokey.com</w:t>
      </w:r>
    </w:p>
    <w:p>
      <w:r>
        <w:t>王宪军 其他作品：https://www.jiaokey.com/tag/王宪军.html</w:t>
      </w:r>
    </w:p>
    <w:p>
      <w:r>
        <w:t>北京理工大学应用力学系 出版图书：https://www.jiaokey.com/tag/北京理工大学应用力学系.html</w:t>
      </w:r>
    </w:p>
    <w:p>
      <w:r>
        <w:t>关键词搜索：https://www.jiaokey.com/tag/青年力学协会第二届年会论文集  第一集  主动振动控制.html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