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贵州连片特困地区贫困特征及扶贫开发对策分析</w:t>
      </w:r>
    </w:p>
    <w:p>
      <w:r>
        <w:rPr>
          <w:rFonts w:ascii="宋体" w:hAnsi="宋体" w:eastAsia="宋体"/>
          <w:sz w:val="24"/>
        </w:rPr>
        <w:t>汪霞等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贵州连片特困地区贫困特征及扶贫开发对策分析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汪霞等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本书出售、求购地址：https://www.jiaokey.com/book/detail/22299126.html</w:t>
      </w:r>
    </w:p>
    <w:p>
      <w:r>
        <w:t>更多相关图书推荐：https://www.jiaokey.com</w:t>
      </w:r>
    </w:p>
    <w:p>
      <w:r>
        <w:t>汪霞等 其他作品：https://www.jiaokey.com/tag/汪霞等.html</w:t>
      </w:r>
    </w:p>
    <w:p>
      <w:r>
        <w:t>关键词搜索：https://www.jiaokey.com/tag/贵州连片特困地区贫困特征及扶贫开发对策分析.html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