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项目制背景下农村扶贫工作及其限度</w:t>
      </w:r>
    </w:p>
    <w:p>
      <w:r>
        <w:rPr>
          <w:rFonts w:ascii="宋体" w:hAnsi="宋体" w:eastAsia="宋体"/>
          <w:sz w:val="24"/>
        </w:rPr>
        <w:t>马良灿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项目制背景下农村扶贫工作及其限度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本书出售、求购地址：https://www.jiaokey.com/book/detail/22299123.html</w:t>
      </w:r>
    </w:p>
    <w:p>
      <w:r>
        <w:t>更多相关图书推荐：https://www.jiaokey.com</w:t>
      </w:r>
    </w:p>
    <w:p>
      <w:r>
        <w:t>马良灿 其他作品：https://www.jiaokey.com/tag/马良灿.html</w:t>
      </w:r>
    </w:p>
    <w:p>
      <w:r>
        <w:t>关键词搜索：https://www.jiaokey.com/tag/项目制背景下农村扶贫工作及其限度.html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