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山区城市土地利用动态空间分布特征—以贵州省六盘水市为例</w:t>
      </w:r>
    </w:p>
    <w:p>
      <w:r>
        <w:rPr>
          <w:rFonts w:ascii="宋体" w:hAnsi="宋体" w:eastAsia="宋体"/>
          <w:sz w:val="24"/>
        </w:rPr>
        <w:t>马士彬等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山区城市土地利用动态空间分布特征—以贵州省六盘水市为例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本书出售、求购地址：https://www.jiaokey.com/book/detail/22299074.html</w:t>
      </w:r>
    </w:p>
    <w:p>
      <w:r>
        <w:t>更多相关图书推荐：https://www.jiaokey.com</w:t>
      </w:r>
    </w:p>
    <w:p>
      <w:r>
        <w:t>马士彬等 其他作品：https://www.jiaokey.com/tag/马士彬等.html</w:t>
      </w:r>
    </w:p>
    <w:p>
      <w:r>
        <w:t>关键词搜索：https://www.jiaokey.com/tag/山区城市土地利用动态空间分布特征—以贵州省六盘水市为例.html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