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利率弹性与信息特征：民间金融与制度金融市场分析</w:t>
      </w:r>
    </w:p>
    <w:p>
      <w:r>
        <w:rPr>
          <w:rFonts w:ascii="宋体" w:hAnsi="宋体" w:eastAsia="宋体"/>
          <w:sz w:val="24"/>
        </w:rPr>
        <w:t>胡春生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利率弹性与信息特征：民间金融与制度金融市场分析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本书出售、求购地址：https://www.jiaokey.com/book/detail/22299032.html</w:t>
      </w:r>
    </w:p>
    <w:p>
      <w:r>
        <w:t>更多相关图书推荐：https://www.jiaokey.com</w:t>
      </w:r>
    </w:p>
    <w:p>
      <w:r>
        <w:t>胡春生 其他作品：https://www.jiaokey.com/tag/胡春生.html</w:t>
      </w:r>
    </w:p>
    <w:p>
      <w:r>
        <w:t>关键词搜索：https://www.jiaokey.com/tag/利率弹性与信息特征：民间金融与制度金融市场分析.html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