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人工智能与互联网前沿法律问题研究</w:t>
      </w:r>
    </w:p>
    <w:p>
      <w:r>
        <w:rPr>
          <w:rFonts w:ascii="宋体" w:hAnsi="宋体" w:eastAsia="宋体"/>
          <w:sz w:val="24"/>
        </w:rPr>
        <w:t>孙占利,孙志伟,刘薇,饶粤红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人工智能与互联网前沿法律问题研究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孙占利,孙志伟,刘薇,饶粤红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9787519727673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互联网络-科学技术管理法规-研究-中国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</w:tbl>
    <w:p/>
    <w:p>
      <w:pPr>
        <w:pStyle w:val="Heading1"/>
      </w:pPr>
      <w:r>
        <w:t>图书介绍</w:t>
      </w:r>
    </w:p>
    <w:p>
      <w:r>
        <w:t>立足于“互联网”的实践与发展，在“互联网”法治建设的基本理论的指导下，对“互联网”工程建设中的新型法律问题进行系统研究，并从跨学科交叉研究的角度动态研究“互联网”的新业态、新模式及新问题，对各国互联网立法中普遍存在的立法滞后、多头立法及立法层累等立法现象提供理论解决建议，进而促进网络空间治理法治理论的发展。立法方面的应用价值。在国内立法层面，为我市乃至我省和我国关于“互联网”的促进与保障立法提供研究建议。在国际立法层面，也可为我国参与制定“互联网”的国际“游戏规则”提供理论支持。执法方面的应用价值。对“互联网”的法治化管理体制、管理机制和管理措施提供研究建议.</w:t>
      </w:r>
    </w:p>
    <w:p/>
    <w:p>
      <w:r>
        <w:t>本书出售、求购地址：https://www.jiaokey.com/book/detail/15462250.html</w:t>
      </w:r>
    </w:p>
    <w:p>
      <w:r>
        <w:t>更多行政法图书推荐：https://www.jiaokey.com</w:t>
      </w:r>
    </w:p>
    <w:p>
      <w:r>
        <w:t>孙占利,孙志伟,刘薇,饶粤红 其他作品：https://www.jiaokey.com/tag/孙占利,孙志伟,刘薇,饶粤红.html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关键词搜索：https://www.jiaokey.com/tag/互联网络-科学技术管理法规-研究-中国.html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