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乡村卓越工匠之师培育导论  基于“全息共振”模式解释与范式</w:t>
      </w:r>
    </w:p>
    <w:p>
      <w:r>
        <w:rPr>
          <w:rFonts w:ascii="宋体" w:hAnsi="宋体" w:eastAsia="宋体"/>
          <w:sz w:val="24"/>
        </w:rPr>
        <w:t>周明星,隋梦园,董泽芳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412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乡村卓越工匠之师培育导论  基于“全息共振”模式解释与范式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周明星,隋梦园,董泽芳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9787562299882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师资培养-研究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教师</w:t>
            </w:r>
          </w:p>
        </w:tc>
      </w:tr>
    </w:tbl>
    <w:p/>
    <w:p>
      <w:pPr>
        <w:pStyle w:val="Heading1"/>
      </w:pPr>
      <w:r>
        <w:t>图书介绍</w:t>
      </w:r>
    </w:p>
    <w:p>
      <w:r>
        <w:t>在乡村振兴过程中，一个职业学校培养出来的优秀学生，往往能用一技之长兴一个家庭，富一方百姓。如果是培养一个研究生层次的工匠之师呢？那就是“培育一粒种子，带动一个专业，服务一群产业，扶持一方经济”。我们秉持“以师兴乡”的办学理念，开展了研究生层次乡村工匠之师培养培训创新实践。十三年来，湖南农业大学坚持立德树人，高端发展，不断完善与研究生层次乡村工匠之师“三界共振+三双共振+三术共振”要素之和有相互作用的“全息共振”模式，培养出一大批“懂农业、爱农村、爱农民”的“浓乡型”乡村卓越职教师资，形成“以师兴乡”的特色</w:t>
      </w:r>
    </w:p>
    <w:p/>
    <w:p>
      <w:r>
        <w:t>本书出售、求购地址：https://www.jiaokey.com/book/detail/15412663.html</w:t>
      </w:r>
    </w:p>
    <w:p>
      <w:r>
        <w:t>更多教师图书推荐：https://www.jiaokey.com</w:t>
      </w:r>
    </w:p>
    <w:p>
      <w:r>
        <w:t>周明星,隋梦园,董泽芳 其他作品：https://www.jiaokey.com/tag/周明星,隋梦园,董泽芳.html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关键词搜索：https://www.jiaokey.com/tag/师资培养-研究.html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