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上海市示范马克思主义学院建设成果丛书  主体间性视域的思想政治教育主客体关系研究</w:t>
      </w:r>
    </w:p>
    <w:p>
      <w:r>
        <w:rPr>
          <w:rFonts w:ascii="宋体" w:hAnsi="宋体" w:eastAsia="宋体"/>
          <w:sz w:val="24"/>
        </w:rPr>
        <w:t>苏令银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上海市示范马克思主义学院建设成果丛书  主体间性视域的思想政治教育主客体关系研究</w:t>
            </w:r>
          </w:p>
        </w:tc>
      </w:tr>
      <w:tr>
        <w:tc>
          <w:tcPr>
            <w:tcW w:type="dxa" w:w="4320"/>
          </w:tcPr>
          <w:p>
            <w:r>
              <w:t>作者</w:t>
            </w:r>
          </w:p>
        </w:tc>
        <w:tc>
          <w:tcPr>
            <w:tcW w:type="dxa" w:w="4320"/>
          </w:tcPr>
          <w:p>
            <w:r>
              <w:t>苏令银</w:t>
            </w:r>
          </w:p>
        </w:tc>
      </w:tr>
      <w:tr>
        <w:tc>
          <w:tcPr>
            <w:tcW w:type="dxa" w:w="4320"/>
          </w:tcPr>
          <w:p>
            <w:r>
              <w:t>出版社</w:t>
            </w:r>
          </w:p>
        </w:tc>
        <w:tc>
          <w:tcPr>
            <w:tcW w:type="dxa" w:w="4320"/>
          </w:tcPr>
          <w:p>
            <w:r>
              <w:t>天津出版传媒集团；天津人民出版社</w:t>
            </w:r>
          </w:p>
        </w:tc>
      </w:tr>
      <w:tr>
        <w:tc>
          <w:tcPr>
            <w:tcW w:type="dxa" w:w="4320"/>
          </w:tcPr>
          <w:p>
            <w:r>
              <w:t>ISBN</w:t>
            </w:r>
          </w:p>
        </w:tc>
        <w:tc>
          <w:tcPr>
            <w:tcW w:type="dxa" w:w="4320"/>
          </w:tcPr>
          <w:p>
            <w:r>
              <w:t>9787201186511</w:t>
            </w:r>
          </w:p>
        </w:tc>
      </w:tr>
      <w:tr>
        <w:tc>
          <w:tcPr>
            <w:tcW w:type="dxa" w:w="4320"/>
          </w:tcPr>
          <w:p>
            <w:r>
              <w:t>出版日期</w:t>
            </w:r>
          </w:p>
        </w:tc>
        <w:tc>
          <w:tcPr>
            <w:tcW w:type="dxa" w:w="4320"/>
          </w:tcPr>
          <w:p>
            <w:r>
              <w:t>2022-08-01</w:t>
            </w:r>
          </w:p>
        </w:tc>
      </w:tr>
      <w:tr>
        <w:tc>
          <w:tcPr>
            <w:tcW w:type="dxa" w:w="4320"/>
          </w:tcPr>
          <w:p>
            <w:r>
              <w:t>页数</w:t>
            </w:r>
          </w:p>
        </w:tc>
        <w:tc>
          <w:tcPr>
            <w:tcW w:type="dxa" w:w="4320"/>
          </w:tcPr>
          <w:p>
            <w:r>
              <w:t>305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思想政治教育和精神文明建设</w:t>
            </w:r>
          </w:p>
        </w:tc>
      </w:tr>
    </w:tbl>
    <w:p/>
    <w:p>
      <w:pPr>
        <w:pStyle w:val="Heading1"/>
      </w:pPr>
      <w:r>
        <w:t>图书介绍</w:t>
      </w:r>
    </w:p>
    <w:p>
      <w:r>
        <w:t>开展思想政治教育必须注重处理好思想政治教育的主客体关系，作为思想政治教育中至关重要的一对关系，它在整个教育中具有举足轻重的地位和作用。思想政治教育主客体关系是思想政治教育活动展开的首要条件，也是思想政治教育的题中应有之义。和谐的思想政治教育主客体关系是思想政治教育活动顺利进行的重要保障。对思想政治教育的主客体关系进行研究，尝试构建思想政治教育在主客体间性视域下的对象关系。这在一定程度上将思想政治教育的范畴扩展到了哲学领域，对于传统思想政治教育主客体关系论而言是一种创新和超越。本书坚持以马克思主义基本原理为指导，立足主体间性视域探讨思想政治教育主客体关系，一方面，有利于思想政治教育构建更为完整的理论框架，进一步提升这一学科整体的科学化水平；另一方面，有利于思想政治教育与时俱进的创新发展，不断增强这一学科的实际应用程度，进一步提高思想政治教育的针对性和实际效果。</w:t>
      </w:r>
    </w:p>
    <w:p/>
    <w:p>
      <w:r>
        <w:t>本书出售、求购地址：https://www.jiaokey.com/book/detail/15183955.html</w:t>
      </w:r>
    </w:p>
    <w:p>
      <w:r>
        <w:t>更多思想政治教育和精神文明建设图书推荐：https://www.jiaokey.com</w:t>
      </w:r>
    </w:p>
    <w:p>
      <w:r>
        <w:t>苏令银 其他作品：https://www.jiaokey.com/tag/苏令银.html</w:t>
      </w:r>
    </w:p>
    <w:p>
      <w:r>
        <w:t>天津出版传媒集团；天津人民出版社 出版图书：https://www.jiaokey.com/tag/天津出版传媒集团；天津人民出版社.html</w:t>
      </w:r>
    </w:p>
    <w:p>
      <w:r>
        <w:t>关键词搜索：https://www.jiaokey.com/tag/上海市示范马克思主义学院建设成果丛书  主体间性视域的思想政治教育主客体关系研究.html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