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公法研究  第21卷</w:t>
      </w:r>
    </w:p>
    <w:p>
      <w:r>
        <w:rPr>
          <w:rFonts w:ascii="宋体" w:hAnsi="宋体" w:eastAsia="宋体"/>
          <w:sz w:val="24"/>
        </w:rPr>
        <w:t>章剑生,浙江大学公法与比较法研究所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公法研究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章剑生,浙江大学公法与比较法研究所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9787308222228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公法-研究-文集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富有理论性与研究性，探究性与实务性的特点，对法律学术界教育界理论界有参考借鉴作用，对政治相关部门也有启示作用。</w:t>
      </w:r>
    </w:p>
    <w:p/>
    <w:p>
      <w:r>
        <w:t>本书出售、求购地址：https://www.jiaokey.com/book/detail/15134955.html</w:t>
      </w:r>
    </w:p>
    <w:p>
      <w:r>
        <w:t>更多论文集图书推荐：https://www.jiaokey.com</w:t>
      </w:r>
    </w:p>
    <w:p>
      <w:r>
        <w:t>章剑生,浙江大学公法与比较法研究所 其他作品：https://www.jiaokey.com/tag/章剑生,浙江大学公法与比较法研究所.html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关键词搜索：https://www.jiaokey.com/tag/公法-研究-文集.html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