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奇男奇女卷</w:t>
      </w:r>
    </w:p>
    <w:p>
      <w:r>
        <w:rPr>
          <w:rFonts w:ascii="宋体" w:hAnsi="宋体" w:eastAsia="宋体"/>
          <w:sz w:val="24"/>
        </w:rPr>
        <w:t>钟少射主编；齐吉祥，滕秋云，乌蒙等编著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奇男奇女卷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钟少射主编；齐吉祥，滕秋云，乌蒙等编著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978-7-5007-4408-5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28.30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本书出售、求购地址：https://www.jiaokey.com/book/detail/15050521.html</w:t>
      </w:r>
    </w:p>
    <w:p>
      <w:r>
        <w:t>更多相关图书推荐：https://www.jiaokey.com</w:t>
      </w:r>
    </w:p>
    <w:p>
      <w:r>
        <w:t>钟少射主编；齐吉祥，滕秋云，乌蒙等编著 其他作品：https://www.jiaokey.com/tag/钟少射主编；齐吉祥，滕秋云，乌蒙等编著.html</w:t>
      </w:r>
    </w:p>
    <w:p>
      <w:r>
        <w:t>关键词搜索：https://www.jiaokey.com/tag/儿童文学-故事-中国-当代.html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