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深圳律师业务操作指引</w:t>
      </w:r>
    </w:p>
    <w:p>
      <w:r>
        <w:rPr>
          <w:rFonts w:ascii="宋体" w:hAnsi="宋体" w:eastAsia="宋体"/>
          <w:sz w:val="24"/>
        </w:rPr>
        <w:t>深圳市律师协会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深圳律师业务操作指引</w:t>
            </w:r>
          </w:p>
        </w:tc>
      </w:tr>
      <w:tr>
        <w:tc>
          <w:tcPr>
            <w:tcW w:type="dxa" w:w="4320"/>
          </w:tcPr>
          <w:p>
            <w:r>
              <w:t>作者</w:t>
            </w:r>
          </w:p>
        </w:tc>
        <w:tc>
          <w:tcPr>
            <w:tcW w:type="dxa" w:w="4320"/>
          </w:tcPr>
          <w:p>
            <w:r>
              <w:t>深圳市律师协会</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9787519728489</w:t>
            </w:r>
          </w:p>
        </w:tc>
      </w:tr>
      <w:tr>
        <w:tc>
          <w:tcPr>
            <w:tcW w:type="dxa" w:w="4320"/>
          </w:tcPr>
          <w:p>
            <w:r>
              <w:t>出版日期</w:t>
            </w:r>
          </w:p>
        </w:tc>
        <w:tc>
          <w:tcPr>
            <w:tcW w:type="dxa" w:w="4320"/>
          </w:tcPr>
          <w:p>
            <w:r>
              <w:t>2018-11-01</w:t>
            </w:r>
          </w:p>
        </w:tc>
      </w:tr>
      <w:tr>
        <w:tc>
          <w:tcPr>
            <w:tcW w:type="dxa" w:w="4320"/>
          </w:tcPr>
          <w:p>
            <w:r>
              <w:t>页数</w:t>
            </w:r>
          </w:p>
        </w:tc>
        <w:tc>
          <w:tcPr>
            <w:tcW w:type="dxa" w:w="4320"/>
          </w:tcPr>
          <w:p>
            <w:r>
              <w:t>351</w:t>
            </w:r>
          </w:p>
        </w:tc>
      </w:tr>
      <w:tr>
        <w:tc>
          <w:tcPr>
            <w:tcW w:type="dxa" w:w="4320"/>
          </w:tcPr>
          <w:p>
            <w:r>
              <w:t>价格</w:t>
            </w:r>
          </w:p>
        </w:tc>
        <w:tc>
          <w:tcPr>
            <w:tcW w:type="dxa" w:w="4320"/>
          </w:tcPr>
          <w:p>
            <w:r/>
          </w:p>
        </w:tc>
      </w:tr>
      <w:tr>
        <w:tc>
          <w:tcPr>
            <w:tcW w:type="dxa" w:w="4320"/>
          </w:tcPr>
          <w:p>
            <w:r>
              <w:t>关键词</w:t>
            </w:r>
          </w:p>
        </w:tc>
        <w:tc>
          <w:tcPr>
            <w:tcW w:type="dxa" w:w="4320"/>
          </w:tcPr>
          <w:p>
            <w:r>
              <w:t>律师业务－中国</w:t>
            </w:r>
          </w:p>
        </w:tc>
      </w:tr>
      <w:tr>
        <w:tc>
          <w:tcPr>
            <w:tcW w:type="dxa" w:w="4320"/>
          </w:tcPr>
          <w:p>
            <w:r>
              <w:t>分类</w:t>
            </w:r>
          </w:p>
        </w:tc>
        <w:tc>
          <w:tcPr>
            <w:tcW w:type="dxa" w:w="4320"/>
          </w:tcPr>
          <w:p>
            <w:r>
              <w:t>司法制度</w:t>
            </w:r>
          </w:p>
        </w:tc>
      </w:tr>
    </w:tbl>
    <w:p/>
    <w:p>
      <w:pPr>
        <w:pStyle w:val="Heading1"/>
      </w:pPr>
      <w:r>
        <w:t>图书介绍</w:t>
      </w:r>
    </w:p>
    <w:p>
      <w:r>
        <w:t>本书由深圳市律师协会编写，是涉及劳动法、行政法、税务争议、交通肇事纠纷、保理合同、公司法务、房屋买卖等多个领域的律师实务操作指引，较细致、有条理地归纳总结了律师实务过程中应注意的程序性问题及操作规范。虽为深圳市律师协会编写的，除个别四个操作指引适用于深圳市律师业务，其余七篇适用于全国相关律师业务，有一定的普及性。</w:t>
      </w:r>
    </w:p>
    <w:p/>
    <w:p>
      <w:r>
        <w:t>本书出售、求购地址：https://www.jiaokey.com/book/detail/15042133.html</w:t>
      </w:r>
    </w:p>
    <w:p>
      <w:r>
        <w:t>更多司法制度图书推荐：https://www.jiaokey.com</w:t>
      </w:r>
    </w:p>
    <w:p>
      <w:r>
        <w:t>深圳市律师协会 其他作品：https://www.jiaokey.com/tag/深圳市律师协会.html</w:t>
      </w:r>
    </w:p>
    <w:p>
      <w:r>
        <w:t>北京：法律出版社 出版图书：https://www.jiaokey.com/tag/北京：法律出版社.html</w:t>
      </w:r>
    </w:p>
    <w:p>
      <w:r>
        <w:t>关键词搜索：https://www.jiaokey.com/tag/律师业务－中国.html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