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建筑企业日常涉税业务实操大全政策详解 案例分析 会计处理</w:t>
      </w:r>
    </w:p>
    <w:p>
      <w:r>
        <w:rPr>
          <w:rFonts w:ascii="宋体" w:hAnsi="宋体" w:eastAsia="宋体"/>
          <w:sz w:val="24"/>
        </w:rPr>
        <w:t>董宏主编；晏慎友，施玉明副主编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建筑企业日常涉税业务实操大全政策详解 案例分析 会计处理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董宏主编；晏慎友，施玉明副主编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978-7-5092-1893-8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建筑业-税收管理-中国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3.1.4建设工程当年完工企业所得税收入的确认 根据《企业所得税法实施条例》第九条及《国家税务总局关于确认企业所得税收入若干问题的通知》（国税函〔2008〕875号）等的相关规定精神，对于在一个纳税期内完工的建筑项目，因为完工验收后，与项...</w:t>
      </w:r>
    </w:p>
    <w:p/>
    <w:p>
      <w:r>
        <w:t>本书出售、求购地址：https://www.jiaokey.com/book/detail/14927304.html</w:t>
      </w:r>
    </w:p>
    <w:p>
      <w:r>
        <w:t>更多相关图书推荐：https://www.jiaokey.com</w:t>
      </w:r>
    </w:p>
    <w:p>
      <w:r>
        <w:t>董宏主编；晏慎友，施玉明副主编 其他作品：https://www.jiaokey.com/tag/董宏主编；晏慎友，施玉明副主编.html</w:t>
      </w:r>
    </w:p>
    <w:p>
      <w:r>
        <w:t>关键词搜索：https://www.jiaokey.com/tag/建筑业-税收管理-中国.html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