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股权投资争议解决</w:t>
      </w:r>
    </w:p>
    <w:p>
      <w:r>
        <w:rPr>
          <w:rFonts w:ascii="宋体" w:hAnsi="宋体" w:eastAsia="宋体"/>
          <w:sz w:val="24"/>
        </w:rPr>
        <w:t>储小青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股权投资争议解决</w:t>
            </w:r>
          </w:p>
        </w:tc>
      </w:tr>
      <w:tr>
        <w:tc>
          <w:tcPr>
            <w:tcW w:type="dxa" w:w="4320"/>
          </w:tcPr>
          <w:p>
            <w:r>
              <w:t>作者</w:t>
            </w:r>
          </w:p>
        </w:tc>
        <w:tc>
          <w:tcPr>
            <w:tcW w:type="dxa" w:w="4320"/>
          </w:tcPr>
          <w:p>
            <w:r>
              <w:t>储小青</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9787519744816</w:t>
            </w:r>
          </w:p>
        </w:tc>
      </w:tr>
      <w:tr>
        <w:tc>
          <w:tcPr>
            <w:tcW w:type="dxa" w:w="4320"/>
          </w:tcPr>
          <w:p>
            <w:r>
              <w:t>出版日期</w:t>
            </w:r>
          </w:p>
        </w:tc>
        <w:tc>
          <w:tcPr>
            <w:tcW w:type="dxa" w:w="4320"/>
          </w:tcPr>
          <w:p>
            <w:r>
              <w:t>2020-08-01</w:t>
            </w:r>
          </w:p>
        </w:tc>
      </w:tr>
      <w:tr>
        <w:tc>
          <w:tcPr>
            <w:tcW w:type="dxa" w:w="4320"/>
          </w:tcPr>
          <w:p>
            <w:r>
              <w:t>页数</w:t>
            </w:r>
          </w:p>
        </w:tc>
        <w:tc>
          <w:tcPr>
            <w:tcW w:type="dxa" w:w="4320"/>
          </w:tcPr>
          <w:p>
            <w:r>
              <w:t>230</w:t>
            </w:r>
          </w:p>
        </w:tc>
      </w:tr>
      <w:tr>
        <w:tc>
          <w:tcPr>
            <w:tcW w:type="dxa" w:w="4320"/>
          </w:tcPr>
          <w:p>
            <w:r>
              <w:t>价格</w:t>
            </w:r>
          </w:p>
        </w:tc>
        <w:tc>
          <w:tcPr>
            <w:tcW w:type="dxa" w:w="4320"/>
          </w:tcPr>
          <w:p>
            <w:r/>
          </w:p>
        </w:tc>
      </w:tr>
      <w:tr>
        <w:tc>
          <w:tcPr>
            <w:tcW w:type="dxa" w:w="4320"/>
          </w:tcPr>
          <w:p>
            <w:r>
              <w:t>关键词</w:t>
            </w:r>
          </w:p>
        </w:tc>
        <w:tc>
          <w:tcPr>
            <w:tcW w:type="dxa" w:w="4320"/>
          </w:tcPr>
          <w:p>
            <w:r>
              <w:t>股权-投资基金-案例</w:t>
            </w:r>
          </w:p>
        </w:tc>
      </w:tr>
      <w:tr>
        <w:tc>
          <w:tcPr>
            <w:tcW w:type="dxa" w:w="4320"/>
          </w:tcPr>
          <w:p>
            <w:r>
              <w:t>分类</w:t>
            </w:r>
          </w:p>
        </w:tc>
        <w:tc>
          <w:tcPr>
            <w:tcW w:type="dxa" w:w="4320"/>
          </w:tcPr>
          <w:p>
            <w:r>
              <w:t>金融、银行理论</w:t>
            </w:r>
          </w:p>
        </w:tc>
      </w:tr>
    </w:tbl>
    <w:p/>
    <w:p>
      <w:pPr>
        <w:pStyle w:val="Heading1"/>
      </w:pPr>
      <w:r>
        <w:t>图书介绍</w:t>
      </w:r>
    </w:p>
    <w:p>
      <w:r>
        <w:t>自2012年底最高人民法院作出了中国对赌第一案的终审判决后，各法院及仲裁机构对于有关“对赌协议”履行纠纷所作的裁判以及由此引起的争议便屡见于网络和报端。而自去年至今相关案件的爆发更有井喷之态势，纠纷类型也层出不穷，不仅有因协议约定期限到期无法满足设定条件而触发对赌条款引起的商事纠纷，亦有投资方选择目标公司不当、融资方财务造假甚至侵占、挪用资产等引起的涉刑事纠纷，现阶段该类案件已呈现出刑民交错、事实理由多样化且法律关系复杂的境况。我国现行法律体制下对于“对赌协议”本身并无任何明确规定，在此情况下，基于“对赌第一案”所设定的基调，“对赌协议”具体的各项内容的认定仍有赖于法院和仲裁机构对于现行法的理解和自由裁量。本书稿主要围绕“对赌”和“回购”中股权投资争议进行法律研究和探讨。作者以其丰富的实践经历，通过大量的案例分析，来详细第说明了法律实物中，对赌和回购中所常见的股权投资争议。本书稿内容详实，从理论说明到案例分析，论证充足。书稿中语言简洁易懂，又不失法律专业性，能够为读者提供较好的实操参考与法律意见。</w:t>
      </w:r>
    </w:p>
    <w:p/>
    <w:p>
      <w:r>
        <w:t>本书出售、求购地址：https://www.jiaokey.com/book/detail/14815696.html</w:t>
      </w:r>
    </w:p>
    <w:p>
      <w:r>
        <w:t>更多金融、银行理论图书推荐：https://www.jiaokey.com</w:t>
      </w:r>
    </w:p>
    <w:p>
      <w:r>
        <w:t>储小青 其他作品：https://www.jiaokey.com/tag/储小青.html</w:t>
      </w:r>
    </w:p>
    <w:p>
      <w:r>
        <w:t>北京：法律出版社 出版图书：https://www.jiaokey.com/tag/北京：法律出版社.html</w:t>
      </w:r>
    </w:p>
    <w:p>
      <w:r>
        <w:t>关键词搜索：https://www.jiaokey.com/tag/股权-投资基金-案例.html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