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波兰税制</w:t>
      </w:r>
    </w:p>
    <w:p>
      <w:r>
        <w:rPr>
          <w:rFonts w:ascii="宋体" w:hAnsi="宋体" w:eastAsia="宋体"/>
          <w:sz w:val="24"/>
        </w:rPr>
        <w:t>（波）乌兹米尔·尼科尔，（波）米豪·维克主编；谭郁森译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（波）乌兹米尔·尼科尔，（波）米豪·维克主编；谭郁森译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978-7-5429-6315-4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税收制度-研究-波兰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：波兰加入欧盟之后经济增长机遇及其挑战；波兰税制的基本特征、在欧盟法律框架下的波兰税法概况；波兰最新的税制，涵盖了波兰的主要税种（如增值税、消费税和所得税）；波兰和其他国家缔结国际税收条约情况的探讨。本书全面探讨波兰税收制度。</w:t>
      </w:r>
    </w:p>
    <w:p/>
    <w:p>
      <w:r>
        <w:t>本书出售、求购地址：https://www.jiaokey.com/book/detail/14754380.html</w:t>
      </w:r>
    </w:p>
    <w:p>
      <w:r>
        <w:t>更多相关图书推荐：https://www.jiaokey.com</w:t>
      </w:r>
    </w:p>
    <w:p>
      <w:r>
        <w:t>（波）乌兹米尔·尼科尔，（波）米豪·维克主编；谭郁森译 其他作品：https://www.jiaokey.com/tag/（波）乌兹米尔·尼科尔，（波）米豪·维克主编；谭郁森译.html</w:t>
      </w:r>
    </w:p>
    <w:p>
      <w:r>
        <w:t>关键词搜索：https://www.jiaokey.com/tag/税收制度-研究-波兰.html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