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精通POSTGRESQL 11  第2版</w:t>
      </w:r>
    </w:p>
    <w:p>
      <w:r>
        <w:rPr>
          <w:rFonts w:ascii="宋体" w:hAnsi="宋体" w:eastAsia="宋体"/>
          <w:sz w:val="24"/>
        </w:rPr>
        <w:t>（奥）汉斯·尤尔根·舍尔希著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精通POSTGRESQL 11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（奥）汉斯·尤尔根·舍尔希著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本书出售、求购地址：https://www.jiaokey.com/book/detail/14745649.html</w:t>
      </w:r>
    </w:p>
    <w:p>
      <w:r>
        <w:t>更多相关图书推荐：https://www.jiaokey.com</w:t>
      </w:r>
    </w:p>
    <w:p>
      <w:r>
        <w:t>（奥）汉斯·尤尔根·舍尔希著 其他作品：https://www.jiaokey.com/tag/（奥）汉斯·尤尔根·舍尔希著.html</w:t>
      </w:r>
    </w:p>
    <w:p>
      <w:r>
        <w:t>关键词搜索：https://www.jiaokey.com/tag/精通POSTGRESQL 11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