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全科医生常见疾病诊疗规范</w:t>
      </w:r>
    </w:p>
    <w:p>
      <w:r>
        <w:rPr>
          <w:rFonts w:ascii="宋体" w:hAnsi="宋体" w:eastAsia="宋体"/>
          <w:sz w:val="24"/>
        </w:rPr>
        <w:t>谢元林，刘激扬，周继如编者；薛士滨，周可欣责编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全科医生常见疾病诊疗规范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谢元林，刘激扬，周继如编者；薛士滨，周可欣责编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本书出售、求购地址：https://www.jiaokey.com/book/detail/14731847.html</w:t>
      </w:r>
    </w:p>
    <w:p>
      <w:r>
        <w:t>更多相关图书推荐：https://www.jiaokey.com</w:t>
      </w:r>
    </w:p>
    <w:p>
      <w:r>
        <w:t>谢元林，刘激扬，周继如编者；薛士滨，周可欣责编 其他作品：https://www.jiaokey.com/tag/谢元林，刘激扬，周继如编者；薛士滨，周可欣责编.html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关键词搜索：https://www.jiaokey.com/tag/全科医生常见疾病诊疗规范.html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