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巴丹吉林沙漠的水文地质条件及地下水循环模式</w:t>
      </w:r>
    </w:p>
    <w:p>
      <w:r>
        <w:rPr>
          <w:rFonts w:ascii="宋体" w:hAnsi="宋体" w:eastAsia="宋体"/>
          <w:sz w:val="24"/>
        </w:rPr>
        <w:t>（中国）王旭升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巴丹吉林沙漠的水文地质条件及地下水循环模式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（中国）王旭升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本书出售、求购地址：https://www.jiaokey.com/book/detail/14722561.html</w:t>
      </w:r>
    </w:p>
    <w:p>
      <w:r>
        <w:t>更多相关图书推荐：https://www.jiaokey.com</w:t>
      </w:r>
    </w:p>
    <w:p>
      <w:r>
        <w:t>（中国）王旭升 其他作品：https://www.jiaokey.com/tag/（中国）王旭升.html</w:t>
      </w:r>
    </w:p>
    <w:p>
      <w:r>
        <w:t>北京：龙门书局 出版图书：https://www.jiaokey.com/tag/北京：龙门书局.html</w:t>
      </w:r>
    </w:p>
    <w:p>
      <w:r>
        <w:t>关键词搜索：https://www.jiaokey.com/tag/巴丹吉林沙漠的水文地质条件及地下水循环模式.html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