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差异教学策略</w:t>
      </w:r>
    </w:p>
    <w:p>
      <w:r>
        <w:rPr>
          <w:rFonts w:ascii="宋体" w:hAnsi="宋体" w:eastAsia="宋体"/>
          <w:sz w:val="24"/>
        </w:rPr>
        <w:t>盖尔·格雷戈里，卡罗琳·查普曼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盖尔·格雷戈里，卡罗琳·查普曼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本书出售、求购地址：https://www.jiaokey.com/book/detail/14711877.html</w:t>
      </w:r>
    </w:p>
    <w:p>
      <w:r>
        <w:t>更多相关图书推荐：https://www.jiaokey.com</w:t>
      </w:r>
    </w:p>
    <w:p>
      <w:r>
        <w:t>盖尔·格雷戈里，卡罗琳·查普曼 其他作品：https://www.jiaokey.com/tag/盖尔·格雷戈里，卡罗琳·查普曼.html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关键词搜索：https://www.jiaokey.com/tag/差异教学策略.html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