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治理现代化  改革开放以来中国特色社会治理的发展逻辑与进路</w:t>
      </w:r>
    </w:p>
    <w:p>
      <w:r>
        <w:rPr>
          <w:rFonts w:ascii="宋体" w:hAnsi="宋体" w:eastAsia="宋体"/>
          <w:sz w:val="24"/>
        </w:rPr>
        <w:t>吴超著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治理现代化  改革开放以来中国特色社会治理的发展逻辑与进路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本书出售、求购地址：https://www.jiaokey.com/book/detail/14704459.html</w:t>
      </w:r>
    </w:p>
    <w:p>
      <w:r>
        <w:t>更多相关图书推荐：https://www.jiaokey.com</w:t>
      </w:r>
    </w:p>
    <w:p>
      <w:r>
        <w:t>吴超著 其他作品：https://www.jiaokey.com/tag/吴超著.html</w:t>
      </w:r>
    </w:p>
    <w:p>
      <w:r>
        <w:t>关键词搜索：https://www.jiaokey.com/tag/治理现代化  改革开放以来中国特色社会治理的发展逻辑与进路.html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