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第13册  孤城、孤舟与京华  杜甫夔州与两湖时期的创作视角  上</w:t>
      </w:r>
    </w:p>
    <w:p>
      <w:r>
        <w:rPr>
          <w:rFonts w:ascii="宋体" w:hAnsi="宋体" w:eastAsia="宋体"/>
          <w:sz w:val="24"/>
        </w:rPr>
        <w:t>陈曜裕著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第13册  孤城、孤舟与京华  杜甫夔州与两湖时期的创作视角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陈曜裕著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本书出售、求购地址：https://www.jiaokey.com/book/detail/14701025.html</w:t>
      </w:r>
    </w:p>
    <w:p>
      <w:r>
        <w:t>更多相关图书推荐：https://www.jiaokey.com</w:t>
      </w:r>
    </w:p>
    <w:p>
      <w:r>
        <w:t>陈曜裕著 其他作品：https://www.jiaokey.com/tag/陈曜裕著.html</w:t>
      </w:r>
    </w:p>
    <w:p>
      <w:r>
        <w:t>关键词搜索：https://www.jiaokey.com/tag/古典文学研究辑刊  十七编  第13册  孤城、孤舟与京华  杜甫夔州与两湖时期的创作视角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